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734a1915254d4c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8699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OSNOVNA ŠKOLA GRADINA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1.334.940,90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1.385.679,01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103,8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1.330.883,11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1.473.786,40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110,7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88.107,39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11.862,15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12.854,08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108,4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11.862,15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12.854,08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108,4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7.804,36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100.961,47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1293,7</w:t>
            </w:r>
          </w:p>
        </w:tc>
      </w:tr>
    </w:tbl>
    <w:p>
      <w:pPr>
        <w:spacing w:before="0" w:after="0"/>
      </w:pPr>
    </w:p>
    <w:p>
      <w:r>
        <w:t xml:space="preserve">Manjak prihoda poslovanja se odnosi na iznos plaća, materijalnijh prava za prosijnac 2025.g., materijalnih rashoda za isti mjesec. Iako je prihodima oe godine pokriven preneseni manjak u iznosu od 8.601,38.</w:t>
      </w:r>
    </w:p>
    <w:p>
      <w:r>
        <w:t xml:space="preserve">Manjak prihoda od nefinancijske imovine se odnosi na manjak za nabavu udžbenika i knjiga i pokriven je iznosom doznake za kapitalna ulaganja u iznosu od 12.386,16 a razlika od 467,92 biti će pokrivena nakon donošenja odluke o raspodjeli rezultata poslovanja.</w:t>
      </w:r>
    </w:p>
    <w:p>
      <w:r>
        <w:t xml:space="preserve">Ukupan manjak poslovanja u iznosu od 109.562,85 se odnosi na plaće i materijalna prava za 12/25 (101.346,85), učeničku prehranu 84.716,10) te decentralizirana sredstva (3.499,90).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nespomenuti prihodi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1.544,44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3.814,25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247,0</w:t>
            </w:r>
          </w:p>
        </w:tc>
      </w:tr>
    </w:tbl>
    <w:p>
      <w:pPr>
        <w:spacing w:before="0" w:after="0"/>
      </w:pPr>
    </w:p>
    <w:p>
      <w:r>
        <w:t xml:space="preserve">Participacije učenika za tiskanje školskog lista su povećane zbog povećanja cijene tiska pa su zato i prihodi na ovoj poziciji veći nego prethodne godine.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pruženih usluga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4.231,14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3.722,54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88,0</w:t>
            </w:r>
          </w:p>
        </w:tc>
      </w:tr>
    </w:tbl>
    <w:p>
      <w:pPr>
        <w:spacing w:before="0" w:after="0"/>
      </w:pPr>
    </w:p>
    <w:p>
      <w:r>
        <w:t xml:space="preserve">Prihodi od pruženih usluga su nešto manji zbog manjeg broja termina korištenja sportske dvorane.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Plaće za redovan rad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970.959,20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1.092.274,79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112,5</w:t>
            </w:r>
          </w:p>
        </w:tc>
      </w:tr>
    </w:tbl>
    <w:p>
      <w:pPr>
        <w:spacing w:before="0" w:after="0"/>
      </w:pPr>
    </w:p>
    <w:p>
      <w:r>
        <w:t xml:space="preserve">Rashodi za plaće su veći zbog knjiženja 13 plaća u 2025g. prema Pravilniku.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Doprinosi za obvezno zdravstveno osiguranje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160.069,45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180.208,76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112,6</w:t>
            </w:r>
          </w:p>
        </w:tc>
      </w:tr>
    </w:tbl>
    <w:p>
      <w:pPr>
        <w:spacing w:before="0" w:after="0"/>
      </w:pPr>
    </w:p>
    <w:p>
      <w:r>
        <w:t xml:space="preserve">Rashodi za doprinose su veći zbog knjiženja 13 plaća u 2025g. prema Pravilniku.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Službena putovanja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1.363,28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1.906,83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139,9</w:t>
            </w:r>
          </w:p>
        </w:tc>
      </w:tr>
    </w:tbl>
    <w:p>
      <w:pPr>
        <w:spacing w:before="0" w:after="0"/>
      </w:pPr>
    </w:p>
    <w:p>
      <w:r>
        <w:t xml:space="preserve">Veći iznos na ovoj poziciji rezultat je većim brojem službenih putovanja učitelja - izleti, terenska nastava.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Materijal i sirovine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43.484,45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35.835,36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82,4</w:t>
            </w:r>
          </w:p>
        </w:tc>
      </w:tr>
    </w:tbl>
    <w:p>
      <w:pPr>
        <w:spacing w:before="0" w:after="0"/>
      </w:pPr>
    </w:p>
    <w:p>
      <w:r>
        <w:t xml:space="preserve">Rashodi na ovoj poziciji se odnose na rashode za učeničku prehranu. Kako je smanjen broj učenika a time i broj spremljenih obroka, rashodi su znatno manji.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Energija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27.154,96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34.306,22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126,3</w:t>
            </w:r>
          </w:p>
        </w:tc>
      </w:tr>
    </w:tbl>
    <w:p>
      <w:pPr>
        <w:spacing w:before="0" w:after="0"/>
      </w:pPr>
    </w:p>
    <w:p>
      <w:r>
        <w:t xml:space="preserve">Iznos rashoda za energente je povećan zbog nabave ukapnog plina za potrebe dvije područne škole. Ova nabava se radi povremeno. Kako u 2024. g. nije bilo ove nabave u ovoj godine je rashod veći.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Usluge tekućeg i investicijskog održavanja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7.377,21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12.150,78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164,7</w:t>
            </w:r>
          </w:p>
        </w:tc>
      </w:tr>
    </w:tbl>
    <w:p>
      <w:pPr>
        <w:spacing w:before="0" w:after="0"/>
      </w:pPr>
    </w:p>
    <w:p>
      <w:r>
        <w:t xml:space="preserve">Rashodi za usluge tekućeg i investitijskog održavanja su povećani zbog hitnih intervencija na vodovodnoj mreži. Kako se radi o nepredvidljivim kvarovima a popravak je nužan, iznos je veći nego prethodne godine kad takvih situacija nije bilo.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Intelektualne i osobne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1.210,00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Rashodi na ovoj poziciji se odnose na izradu dokumentacije za prijenos vlasništva zgrade matične škole osnivaču. Prethodne godine ovih rashoda nije bilo.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162,50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878,08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540,4</w:t>
            </w:r>
          </w:p>
        </w:tc>
      </w:tr>
    </w:tbl>
    <w:p>
      <w:pPr>
        <w:spacing w:before="0" w:after="0"/>
      </w:pPr>
    </w:p>
    <w:p>
      <w:r>
        <w:t xml:space="preserve">Iznos rashoda na ovoj poziciji se odnosi na usluge održavanja plinskih spremnika, izrade medalja i slično. Povećan broj usluga a i cijene istih rezultiralo je znatnim povećanjem rashoda na ovoj poziciji.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građanima i kućanstvima u naravi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3.809,45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6.457,72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169,5</w:t>
            </w:r>
          </w:p>
        </w:tc>
      </w:tr>
    </w:tbl>
    <w:p>
      <w:pPr>
        <w:spacing w:before="0" w:after="0"/>
      </w:pPr>
    </w:p>
    <w:p>
      <w:r>
        <w:t xml:space="preserve">Rashodi se odnose na nabavu radnih materijala za učenike i prijevoz učenika u organizaciji roditelja. Kako je broj korisnika veći a i cijene, rashodi su uvećani u odnosu na prethodnu godinu.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Obračunati prihodi poslovanja - nenaplaćeni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106.062,95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Na ovoj poziciji su iskazani obračunati prihodi za plaću za 12/25, materijalna prava 12/25, naknada zbog nezapošljavanja osoba s invaliditetom za 12/25 te učeničke prehrane za 12/25 . Prethodne godine knjiženja na ovoj poziciji nije bilo temaljem zakonskih rješenja.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prihoda i primitaka za pokriće u sljedećem razdoblju (šifre Y005 + '9222-9221' - X005 - '9221-9222' 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Y006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8.601,38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109.562,85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1273,8</w:t>
            </w:r>
          </w:p>
        </w:tc>
      </w:tr>
    </w:tbl>
    <w:p>
      <w:pPr>
        <w:spacing w:before="0" w:after="0"/>
      </w:pPr>
    </w:p>
    <w:p>
      <w:r>
        <w:t xml:space="preserve">Manjak prihoda  za pokriće u sljedećem razdoblju se odnosi na manjak vlastitih sredstava za plaće i materijalna prava za 12/2025, (101.346,85) i za učeničku prehranu 12/2025 (4.716,10). Manjak decentraliziranih sredstava iznosi 3.499,90 za mat. rashode za 12/2025.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Bilanca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Materijalna imovina - prirodna bogatstva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40.873,12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227.195,29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555,9</w:t>
            </w:r>
          </w:p>
        </w:tc>
      </w:tr>
    </w:tbl>
    <w:p>
      <w:pPr>
        <w:spacing w:before="0" w:after="0"/>
      </w:pPr>
    </w:p>
    <w:p>
      <w:r>
        <w:t xml:space="preserve">Povećanje ove pozicije rezultat je procjene vrijednosti prije prijenosa vlasništva nad građevinskim zemljištem na osnivača prema ugovoru.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Poslovni objekti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1.012.997,35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2.952.013,75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291,4</w:t>
            </w:r>
          </w:p>
        </w:tc>
      </w:tr>
    </w:tbl>
    <w:p>
      <w:pPr>
        <w:spacing w:before="0" w:after="0"/>
      </w:pPr>
    </w:p>
    <w:p>
      <w:r>
        <w:t xml:space="preserve">Na temelju sporazuma vlasništvo nad zgradom matične škole preneseno je na osnivača, a iznos na toj poziciji je uvećan temeljem pocjene vrijednosti.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Ostala potraživanja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2.445,31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2.189,99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89,6</w:t>
            </w:r>
          </w:p>
        </w:tc>
      </w:tr>
    </w:tbl>
    <w:p>
      <w:pPr>
        <w:spacing w:before="0" w:after="0"/>
      </w:pPr>
    </w:p>
    <w:p>
      <w:r>
        <w:t xml:space="preserve">Knjižena potraživanja se odnose na potraživanja za refundacije bolovanja od HZZO u oba razdoblja.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Vlastiti izvori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693.869,81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3.238.540,59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466,7</w:t>
            </w:r>
          </w:p>
        </w:tc>
      </w:tr>
    </w:tbl>
    <w:p>
      <w:pPr>
        <w:spacing w:before="0" w:after="0"/>
      </w:pPr>
    </w:p>
    <w:p>
      <w:r>
        <w:t xml:space="preserve">Vlastiti izvori su znatno smanjeni zbog isknjižavanja zgrade i zemljišta nakon prijenosa vlsništva na osnivača.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rashodima prema funkcijskoj klasifikaciji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Dodatne usluge u obrazovanju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43.484,45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35.835,36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82,4</w:t>
            </w:r>
          </w:p>
        </w:tc>
      </w:tr>
    </w:tbl>
    <w:p>
      <w:pPr>
        <w:spacing w:before="0" w:after="0"/>
      </w:pPr>
    </w:p>
    <w:p>
      <w:r>
        <w:t xml:space="preserve">Dodatne usluge se odnose na usluge učeničke prehrane, a kako je broj učenika i spremljenih obroka u ovoj godini manji, odstupanje od prošlogodešnjeg iznosa je znatno.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Promjene u vrijednosti i obujmu imovine i obveza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povećanja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smanjenja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Promjene u vrijednosti nefinancijske imovine (šifre P002 do P007)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2.854.362,13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10.335,94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0,4</w:t>
            </w:r>
          </w:p>
        </w:tc>
      </w:tr>
    </w:tbl>
    <w:p>
      <w:pPr>
        <w:spacing w:before="0" w:after="0"/>
      </w:pPr>
    </w:p>
    <w:p>
      <w:r>
        <w:t xml:space="preserve">Iznos smanjenja se odnosi na provedenu korekciju vrijednosti nekretnine u 2025. godini. a iznos povećanja je rezultat procjene vrijednosti dugotrajne imovine a prije prijenosa vlasništva na osnivača..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povećanja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smanjenja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91512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Promjene u obujmu imovine (šifre P016+P023)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91512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3.026.000,00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Iznos se odnosi na vrijednost zemljišta i zgrade matične škole, koji su preneseni u vlasništvo osnivača.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3.125,28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Stanje dospjelih obveza se odnosi na obveze za učeničku prehranu za 12/2025 za koje nismo primili sredstva iz proračuna do 31.12.2025.g.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Međusobne obveze subjekata općeg proračuna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2.189,99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Iznos se odnosi na obveze za refundaciju bolovanja na teret HZZO.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dio 25,26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financijsku imovinu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ND dio 25,26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6.962,62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Obveze na ovoj poziciji su obveze za otkup stanova starom deviznom štednjom.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25.</w:t>
      </w:r>
    </w:p>
    <w:p>
      <w:pPr>
        <w:jc w:val="both"/>
        <w:pStyle w:val="Normal"/>
        <w:spacing w:line="240" w:lineRule="auto"/>
      </w:pPr>
      <w:r>
        <w:rPr>
          <w:b/>
          <w:sz w:val="24"/>
          <w:rFonts w:ascii="Times New Roman" w:hAnsi="Times New Roman"/>
        </w:rPr>
        <w:t xml:space="preserve">EU izvještaj</w:t>
      </w:r>
    </w:p>
    <w:p>
      <w:r>
        <w:t xml:space="preserve">Iznosi u izvješću se odnose na projekt IN-IN -pomoćnici u nastavi koji je okončan 31.08.2025.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7cf5de35a9d4ef3" /></Relationships>
</file>